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莆田擢英中学LED显示屏及扩声系统</w:t>
      </w:r>
      <w:r>
        <w:rPr>
          <w:rFonts w:hint="eastAsia"/>
          <w:sz w:val="32"/>
          <w:szCs w:val="32"/>
          <w:lang w:eastAsia="zh-CN"/>
        </w:rPr>
        <w:t>采购</w:t>
      </w:r>
    </w:p>
    <w:p>
      <w:r>
        <w:rPr>
          <w:rFonts w:hint="eastAsia"/>
        </w:rPr>
        <w:t>根据《中华人民共和国采购法》、《中华人民共和国政府采购法实施条例》等规定，现就莆田擢英中学LED显示屏及扩声系统</w:t>
      </w:r>
      <w:r>
        <w:rPr>
          <w:rFonts w:hint="eastAsia"/>
          <w:lang w:eastAsia="zh-CN"/>
        </w:rPr>
        <w:t>采购</w:t>
      </w:r>
      <w:r>
        <w:rPr>
          <w:rFonts w:hint="eastAsia"/>
        </w:rPr>
        <w:t>项目进行招标。</w:t>
      </w:r>
    </w:p>
    <w:p>
      <w:r>
        <w:rPr>
          <w:rFonts w:hint="eastAsia"/>
        </w:rPr>
        <w:t>一、项目说明</w:t>
      </w:r>
    </w:p>
    <w:p>
      <w:r>
        <w:rPr>
          <w:rFonts w:hint="eastAsia"/>
        </w:rPr>
        <w:t>1.项目名称：莆田擢英中学LED显示屏及扩声系统</w:t>
      </w:r>
      <w:r>
        <w:rPr>
          <w:rFonts w:hint="eastAsia"/>
          <w:lang w:eastAsia="zh-CN"/>
        </w:rPr>
        <w:t>采购</w:t>
      </w:r>
      <w:r>
        <w:rPr>
          <w:rFonts w:hint="eastAsia"/>
        </w:rPr>
        <w:t>。</w:t>
      </w:r>
    </w:p>
    <w:p>
      <w:r>
        <w:rPr>
          <w:rFonts w:hint="eastAsia"/>
        </w:rPr>
        <w:t>2.采购方式：邀请现场综合询价。根据我校的要求，经市场调查后，确定邀请3家单位对本项目进行现场报价，报价最低者将成为本次采购的供应商。</w:t>
      </w:r>
    </w:p>
    <w:p>
      <w:r>
        <w:rPr>
          <w:rFonts w:hint="eastAsia"/>
        </w:rPr>
        <w:t>3.最高限价：</w:t>
      </w:r>
      <w:r>
        <w:rPr>
          <w:rFonts w:hint="eastAsia"/>
          <w:lang w:val="en-US" w:eastAsia="zh-CN"/>
        </w:rPr>
        <w:t>128350</w:t>
      </w:r>
      <w:r>
        <w:rPr>
          <w:rFonts w:hint="eastAsia"/>
        </w:rPr>
        <w:t>元。</w:t>
      </w:r>
    </w:p>
    <w:p>
      <w:r>
        <w:rPr>
          <w:rFonts w:hint="eastAsia"/>
        </w:rPr>
        <w:t>二、内容及要求：</w:t>
      </w:r>
    </w:p>
    <w:p>
      <w:r>
        <w:rPr>
          <w:rFonts w:hint="eastAsia"/>
        </w:rPr>
        <w:t>1.内容</w:t>
      </w:r>
    </w:p>
    <w:tbl>
      <w:tblPr>
        <w:tblStyle w:val="4"/>
        <w:tblW w:w="94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1"/>
        <w:gridCol w:w="1395"/>
        <w:gridCol w:w="6331"/>
        <w:gridCol w:w="416"/>
        <w:gridCol w:w="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jc w:val="center"/>
        </w:trPr>
        <w:tc>
          <w:tcPr>
            <w:tcW w:w="451" w:type="dxa"/>
            <w:vMerge w:val="restart"/>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序号</w:t>
            </w:r>
          </w:p>
        </w:tc>
        <w:tc>
          <w:tcPr>
            <w:tcW w:w="1395" w:type="dxa"/>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名   称</w:t>
            </w:r>
          </w:p>
        </w:tc>
        <w:tc>
          <w:tcPr>
            <w:tcW w:w="6331" w:type="dxa"/>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参数</w:t>
            </w:r>
          </w:p>
        </w:tc>
        <w:tc>
          <w:tcPr>
            <w:tcW w:w="416"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单位</w:t>
            </w:r>
          </w:p>
        </w:tc>
        <w:tc>
          <w:tcPr>
            <w:tcW w:w="844" w:type="dxa"/>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jc w:val="center"/>
        </w:trPr>
        <w:tc>
          <w:tcPr>
            <w:tcW w:w="451" w:type="dxa"/>
            <w:vMerge w:val="continue"/>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1395" w:type="dxa"/>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6331" w:type="dxa"/>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416"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44" w:type="dxa"/>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室内全彩LED显示屏</w:t>
            </w:r>
          </w:p>
        </w:tc>
        <w:tc>
          <w:tcPr>
            <w:tcW w:w="6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1、模组大小：320×160，3.84m*1.76m=6.758</w:t>
            </w:r>
            <w:r>
              <w:rPr>
                <w:rStyle w:val="9"/>
                <w:lang w:val="en-US" w:eastAsia="zh-CN" w:bidi="ar"/>
              </w:rPr>
              <w:t>㎡</w:t>
            </w:r>
            <w:r>
              <w:rPr>
                <w:rStyle w:val="10"/>
                <w:lang w:val="en-US" w:eastAsia="zh-CN" w:bidi="ar"/>
              </w:rPr>
              <w:br w:type="textWrapping"/>
            </w:r>
            <w:r>
              <w:rPr>
                <w:rStyle w:val="10"/>
                <w:lang w:val="en-US" w:eastAsia="zh-CN" w:bidi="ar"/>
              </w:rPr>
              <w:t>2、模组分辨率：208×104</w:t>
            </w:r>
            <w:r>
              <w:rPr>
                <w:rStyle w:val="10"/>
                <w:lang w:val="en-US" w:eastAsia="zh-CN" w:bidi="ar"/>
              </w:rPr>
              <w:br w:type="textWrapping"/>
            </w:r>
            <w:r>
              <w:rPr>
                <w:rStyle w:val="10"/>
                <w:lang w:val="en-US" w:eastAsia="zh-CN" w:bidi="ar"/>
              </w:rPr>
              <w:t>3、像素间距：1.53mm、像素密度：422500pixels/m²</w:t>
            </w:r>
            <w:r>
              <w:rPr>
                <w:rStyle w:val="10"/>
                <w:lang w:val="en-US" w:eastAsia="zh-CN" w:bidi="ar"/>
              </w:rPr>
              <w:br w:type="textWrapping"/>
            </w:r>
            <w:r>
              <w:rPr>
                <w:rStyle w:val="10"/>
                <w:lang w:val="en-US" w:eastAsia="zh-CN" w:bidi="ar"/>
              </w:rPr>
              <w:t>4、一键点屏 支持一键点屏技术，开机后自动识别系统连接，无需重置系统配置</w:t>
            </w:r>
            <w:r>
              <w:rPr>
                <w:rStyle w:val="10"/>
                <w:lang w:val="en-US" w:eastAsia="zh-CN" w:bidi="ar"/>
              </w:rPr>
              <w:br w:type="textWrapping"/>
            </w:r>
            <w:r>
              <w:rPr>
                <w:rStyle w:val="10"/>
                <w:lang w:val="en-US" w:eastAsia="zh-CN" w:bidi="ar"/>
              </w:rPr>
              <w:t>5、拼接缝  ≤0.04mm</w:t>
            </w:r>
            <w:r>
              <w:rPr>
                <w:rStyle w:val="10"/>
                <w:lang w:val="en-US" w:eastAsia="zh-CN" w:bidi="ar"/>
              </w:rPr>
              <w:br w:type="textWrapping"/>
            </w:r>
            <w:r>
              <w:rPr>
                <w:rStyle w:val="10"/>
                <w:lang w:val="en-US" w:eastAsia="zh-CN" w:bidi="ar"/>
              </w:rPr>
              <w:t>6、亮度鉴别等级 依据SJ/T11141-2017 5.10.6规定；C级，Bj≥25级。</w:t>
            </w:r>
            <w:r>
              <w:rPr>
                <w:rStyle w:val="10"/>
                <w:lang w:val="en-US" w:eastAsia="zh-CN" w:bidi="ar"/>
              </w:rPr>
              <w:br w:type="textWrapping"/>
            </w:r>
            <w:r>
              <w:rPr>
                <w:rStyle w:val="10"/>
                <w:lang w:val="en-US" w:eastAsia="zh-CN" w:bidi="ar"/>
              </w:rPr>
              <w:t>7、水平视角 ≥170°、垂直视角 ≥170°</w:t>
            </w:r>
            <w:r>
              <w:rPr>
                <w:rStyle w:val="10"/>
                <w:lang w:val="en-US" w:eastAsia="zh-CN" w:bidi="ar"/>
              </w:rPr>
              <w:br w:type="textWrapping"/>
            </w:r>
            <w:r>
              <w:rPr>
                <w:rStyle w:val="10"/>
                <w:lang w:val="en-US" w:eastAsia="zh-CN" w:bidi="ar"/>
              </w:rPr>
              <w:t>8、峰值功耗 ≤265W/m²、平均功耗 ≤105W/m²</w:t>
            </w:r>
            <w:r>
              <w:rPr>
                <w:rStyle w:val="10"/>
                <w:lang w:val="en-US" w:eastAsia="zh-CN" w:bidi="ar"/>
              </w:rPr>
              <w:br w:type="textWrapping"/>
            </w:r>
            <w:r>
              <w:rPr>
                <w:rStyle w:val="10"/>
                <w:lang w:val="en-US" w:eastAsia="zh-CN" w:bidi="ar"/>
              </w:rPr>
              <w:t>9、电流增益调节范围：1%~199%</w:t>
            </w:r>
            <w:r>
              <w:rPr>
                <w:rStyle w:val="10"/>
                <w:lang w:val="en-US" w:eastAsia="zh-CN" w:bidi="ar"/>
              </w:rPr>
              <w:br w:type="textWrapping"/>
            </w:r>
            <w:r>
              <w:rPr>
                <w:rStyle w:val="10"/>
                <w:lang w:val="en-US" w:eastAsia="zh-CN" w:bidi="ar"/>
              </w:rPr>
              <w:t>10、睡眠功耗 ≤75 W/m²</w:t>
            </w:r>
            <w:r>
              <w:rPr>
                <w:rStyle w:val="10"/>
                <w:lang w:val="en-US" w:eastAsia="zh-CN" w:bidi="ar"/>
              </w:rPr>
              <w:br w:type="textWrapping"/>
            </w:r>
            <w:r>
              <w:rPr>
                <w:rStyle w:val="10"/>
                <w:lang w:val="en-US" w:eastAsia="zh-CN" w:bidi="ar"/>
              </w:rPr>
              <w:t>11、亮暗线调整 采用高端芯片，可去除亮、暗线，可从软、硬件两方面彻底改善LED安装精度造成的亮、暗线问题</w:t>
            </w:r>
            <w:r>
              <w:rPr>
                <w:rStyle w:val="10"/>
                <w:lang w:val="en-US" w:eastAsia="zh-CN" w:bidi="ar"/>
              </w:rPr>
              <w:br w:type="textWrapping"/>
            </w:r>
            <w:r>
              <w:rPr>
                <w:rStyle w:val="10"/>
                <w:lang w:val="en-US" w:eastAsia="zh-CN" w:bidi="ar"/>
              </w:rPr>
              <w:t>12、自动gamma设置 支持自动GAMMA校正技术，16bit自动调节，通过构造非线性校正曲线和色坐标变换系数矩阵实现了显示效果的不断改善，各项重要指标如彩色还原性、色温调节范围、亮度均匀性、色度均匀性、刷新率、换帧频率等，均符合广电级标准</w:t>
            </w:r>
            <w:r>
              <w:rPr>
                <w:rStyle w:val="10"/>
                <w:lang w:val="en-US" w:eastAsia="zh-CN" w:bidi="ar"/>
              </w:rPr>
              <w:br w:type="textWrapping"/>
            </w:r>
            <w:r>
              <w:rPr>
                <w:rStyle w:val="10"/>
                <w:lang w:val="en-US" w:eastAsia="zh-CN" w:bidi="ar"/>
              </w:rPr>
              <w:t>13、光生物安全检测 无危害类：8h（30000s）曝辐中不造成光化学紫外危害（ES），并在16min（1000s）内不造成近紫外危害（EUVA），并在2.8h（10000s）内不造成对视网膜蓝光危害（LB）并在10s内不造成对视网膜热危害（LR），且在1000s内不造成对眼睛的红外辐射危害（EIR）</w:t>
            </w:r>
            <w:r>
              <w:rPr>
                <w:rStyle w:val="10"/>
                <w:lang w:val="en-US" w:eastAsia="zh-CN" w:bidi="ar"/>
              </w:rPr>
              <w:br w:type="textWrapping"/>
            </w:r>
            <w:r>
              <w:rPr>
                <w:rStyle w:val="10"/>
                <w:lang w:val="en-US" w:eastAsia="zh-CN" w:bidi="ar"/>
              </w:rPr>
              <w:t>14、静电电压衰减期 满足（±1000-±100V）≤1S范围内</w:t>
            </w:r>
            <w:r>
              <w:rPr>
                <w:rStyle w:val="10"/>
                <w:lang w:val="en-US" w:eastAsia="zh-CN" w:bidi="ar"/>
              </w:rPr>
              <w:br w:type="textWrapping"/>
            </w:r>
            <w:r>
              <w:rPr>
                <w:rStyle w:val="10"/>
                <w:lang w:val="en-US" w:eastAsia="zh-CN" w:bidi="ar"/>
              </w:rPr>
              <w:t>15、摩擦起电电压 IVI≤30V</w:t>
            </w:r>
            <w:r>
              <w:rPr>
                <w:rStyle w:val="10"/>
                <w:lang w:val="en-US" w:eastAsia="zh-CN" w:bidi="ar"/>
              </w:rPr>
              <w:br w:type="textWrapping"/>
            </w:r>
            <w:r>
              <w:rPr>
                <w:rStyle w:val="10"/>
                <w:lang w:val="en-US" w:eastAsia="zh-CN" w:bidi="ar"/>
              </w:rPr>
              <w:t>16、SELV电路 ，灯珠胶体正常，点亮正常</w:t>
            </w:r>
            <w:r>
              <w:rPr>
                <w:rStyle w:val="10"/>
                <w:lang w:val="en-US" w:eastAsia="zh-CN" w:bidi="ar"/>
              </w:rPr>
              <w:br w:type="textWrapping"/>
            </w:r>
            <w:r>
              <w:rPr>
                <w:rStyle w:val="10"/>
                <w:lang w:val="en-US" w:eastAsia="zh-CN" w:bidi="ar"/>
              </w:rPr>
              <w:t>18、灯管抗静电（ESD）测试   HBM模式∶ESD&gt;2000V，灯珠点亮无异常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1"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LED系统接收卡</w:t>
            </w:r>
          </w:p>
        </w:tc>
        <w:tc>
          <w:tcPr>
            <w:tcW w:w="6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1、集成16个标准HUB75接口，免接HUB；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2、单卡输出RGB数据32组；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3、单卡带载像素为512×256；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4、支持配置文件回读；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5、支持温度监控.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6、支持网线通讯状态检测；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7、支持供电电压检测；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8、支持高灰度高刷新；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9、支持接收卡预存画面设置。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1"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视频处理器</w:t>
            </w:r>
          </w:p>
        </w:tc>
        <w:tc>
          <w:tcPr>
            <w:tcW w:w="6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1.具有完备的视频输入接口，包括 2 路 AV，1 路 VGA，1 路 DVI，1路 HDMI，1 路选配 SDI；</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2.强大的图像处理、专业的图像控制、以及友好的人机界面;</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3.提供无缝瞬切和淡入淡出的切换效果，以增强并呈现专业品质的演示画面；</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4.支持3个画面分割，画中画的位置、大小等均可调节，可以随心所欲的控制；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5.清晰的按键灯提示，简化系统的控制；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支持高位阶视频输入，10bit/8bit；支持自定义分辨率输出，视频最大输出分辨率 3840*1536@60Hz。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固定结构架</w:t>
            </w:r>
          </w:p>
        </w:tc>
        <w:tc>
          <w:tcPr>
            <w:tcW w:w="6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采用铝合金边框制作，3.94m*1.86m=7.328</w:t>
            </w:r>
            <w:r>
              <w:rPr>
                <w:rStyle w:val="9"/>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5"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智能微型断路器</w:t>
            </w:r>
          </w:p>
        </w:tc>
        <w:tc>
          <w:tcPr>
            <w:tcW w:w="6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1.极数：1P，额定电流：32A；</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 额定电压：AC230V，额定工作频率50Hz/60Hz；</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3.最大接线能力35 mm²,额定短路能力6kA；</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4.支持对短路、过流、过载、过温、打火（接触不良、绝缘层破损等）等进行保护；</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实时电流监测功能试验：设备应能对监测线路的电流进行监测，并能在移动端和PC端显示实时电流监测数据。（须提供由第三方检测机构出具的有效检验检测报告复印件予以佐证，检测报告上须体现“CMA”标志）</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6.电流限定预警/报警功能试验：设备可设置电流上限预警阈值和报警阈值，当监测线路负载的运行电流超过预警阈值时，设备应发送过流预警信息至移动端和PC端；当监测线路负载的运行电流超过报警阈值时，设备应能自动分闸，并发送过载报警信息至移动端和PC端。（须提供由第三方检测机构出具的有效检验检测报告复印件予以佐证，检测报告上须体现“CMA”标志）</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7. 功率限定预警/报警功能试验：设备支持设置功率上限预警阈值和报警阈值，当监测线路负载的运行功率超过预警阈值时，设备应发送过载预警信息至移动端和PC端；当监测线路负载的运行功率超过报警阈值时，设备应能自动分闸，并发送过载报警信息至移动端和PC端。（须提供由第三方检测机构出具的有效检验检测报告复印件予以佐证，检测报告上须体现“CMA”标志）</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8. 漏保自检功能：移动端或PC端中有漏保自检功能，可设置自检时间；到达设定自检时间点，设备执行漏保自动巡检，漏保正常时，断路器自动合闸（须提供由第三方检测机构出具的有效检验检测报告复印件予以佐证，检测报告上须体现“CMA”标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3"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智能配电柜</w:t>
            </w:r>
          </w:p>
        </w:tc>
        <w:tc>
          <w:tcPr>
            <w:tcW w:w="6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1.分步式自动逐级上电功能；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2.分步式自动逐级掉电功能；</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3.工业级过载短路限流保护；</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4.过压欠压保护功能；</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5.机械强度和内部布线需符合GB 4706.1-2005家用和类似用途电器的安全要求 第1部分：通用要求。（提供由CNAS、ILAC-MRA认证的第三方专业机构出具的检测报告复印件，并加盖制造厂商公章，否者视为不满足要求。）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音箱</w:t>
            </w:r>
          </w:p>
        </w:tc>
        <w:tc>
          <w:tcPr>
            <w:tcW w:w="6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1.适用于KTV，报告厅、背景音乐、商业场所等；</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2.本产品是一款优质的前导式专业音箱,高性能驱动高音，声音细腻，中高频清晰,语音表现优秀；</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3.整体高密度中纤板,采用高强度细颗粒涂装；</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4.额定功率≥200W；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14"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音频功率放大器</w:t>
            </w:r>
          </w:p>
        </w:tc>
        <w:tc>
          <w:tcPr>
            <w:tcW w:w="6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1.立体声/并联/单声道桥接模式；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2.输入灵敏度0.775V和1.4V可选择；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3.XLR输入接口，喇叭接线柱输出接口；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4.2个增益控制旋钮，1个电源开关，1个电源LED灯，2组信号灯分别</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表示对应声道处于工作、削波和故障状态；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 防止短路、空载、开/关机噪音、射频干扰保护电路。</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频率响应(1W) 20Hz-20KHz,+0/-1dB</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总谐波失真 ＜0.5%，20Hz-20KHz</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互调失真 = / ＜0.35%</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转换速率 ＞10V/us</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电压增益 28dB</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信噪比 ＞100dB</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输入灵敏度 0.775V/1.4V</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输入阻抗 平衡20K ohms/非平衡10K ohms</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保护线路 直流、过载、温度、啸叫</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保护电路 防止短路、空载、开/关机噪音、无线电干扰保护电路</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通风 由前往后的空气对流机制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冷却 内部空气强排散热，风扇冷却，快速调节，温度保护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2"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调音台</w:t>
            </w:r>
          </w:p>
        </w:tc>
        <w:tc>
          <w:tcPr>
            <w:tcW w:w="6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1.8路单声道输入通道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2.DSP效果模块可供选择，一种为可调时间的21种效果模式，一种为全参数可调的和可提供参数固化的效果模式</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3.智能化显示面板精确显示各类数据，方便调节</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4.+48V幻像电源</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5.SMT 表面贴装工艺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6.输入通道三段均衡，输出通道双七段均衡</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7.配LED DJ灯</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8.低噪音设计的外置电源适配器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主要技术参数：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1.频率响应：20Hz-20KHz(±1dB)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2.左右通道串音：无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3.信噪比：≥78dB@1KHz 0dB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4.主输出通道最大平衡输出：22dB(±1.5dB)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5.耳机输出：12dB±1.5dB@ 1KHz 32Ω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6.通道间增益差：≤2dB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7.失真度：≤0.002%@0dB 1KHz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8.单声道通道均衡高频频点：12KHz；中频：1.8KHz；低频频点：80Hz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9.立体声通道均衡高频：12KHz；中高频：1.8KHz；低频：80Hz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10.中心频点频偏：＜8%；最大增益范围：±15dB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11.效果器：DSP效果，每个有21种效果可调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7"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数字反馈抑制器</w:t>
            </w:r>
          </w:p>
        </w:tc>
        <w:tc>
          <w:tcPr>
            <w:tcW w:w="6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1.96KHz采样频率，32-bit DSP处理器，24-bit A/D及D/A转换</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2.可通过面板的BYPASS/ON按键切换工作模式为直通或抑制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3.全自动窄带陷波式反馈抑制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4.每通道独立12个固定滤波器和12个动态滤波器,可通过“系统”键来设定固定或动态滤波器的个数</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5.可通过面板液晶上显示的48个啸叫点显示灯,显示当前啸叫点个数</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6.带有压缩,限幅,噪声门功能</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7.单机提供30组设备数据存储,存储压缩,限幅,噪声门的参数。关机后可保存关机前的啸叫抑制状态.</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8.可通过面板的“系统”键来设定密码锁定面板操作的部分或全部功能，以防止非相关人员的操作破坏机器的工作状态</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9.采用液晶屏和段码彩色液晶显示输出的精确数字电平表</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10.提供模拟输入输出或数字AES 3, 光纤，同轴输入输出。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96"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一拖四无线话筒</w:t>
            </w:r>
          </w:p>
        </w:tc>
        <w:tc>
          <w:tcPr>
            <w:tcW w:w="6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1.一拖四长杆无线会议话筒，适用于会议室，报告厅，舞台，娱乐等场景</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2.内置3编组叠机频率,一键调取. 同一频段可同时轻松叠机三套使用采用最新的UHF波段无线音频发射芯片模块IC. 具有优越的RF性能和音频性能，为客户提供专业级的音质体验</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3.具有IR红外线自动对频功能,一键自动对频锁定.</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4.四通道音量独立可调. 提供4+1音频输出.四通道各音频音量输出独立可控</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5.提供多种发射器可选. 发射器中会议/手持/领夹 可以混搭使用. 互不干忧</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6.配合杂讯锁定静噪控制与数码导频技术, 当发射器关闭时，导频控制将AF信号静音以抑制噪声，同时将接收机对应通道静音。保证了对干忧信号的有效阻隔</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7.信道数目: 200个</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8.信道间隔: 300KHZ ；频率稳定度:±0.005%</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9.动态范围:100db；最大偏移:±45KHZ</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10.音频频率响应: 40HZ-18KHZ(±2db)</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11.中频：110MHZ. 10.7MHZ； 天线接入TNC/50Ω； 灵敏度：12dBuV(80db S/N) ；灵敏度调节范围：12-32dBuV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12.最大输出电平：+10dbv； 供电方式：直流12V 400mA输入；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电源时序器</w:t>
            </w:r>
          </w:p>
        </w:tc>
        <w:tc>
          <w:tcPr>
            <w:tcW w:w="6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1.采用ARM核32位处理器控制，使时间更精确性能更稳定；</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2.8路通道总承受功率为8KW电源，每通道拥有独立高性能RFI/EMI电源滤波器，为用户的设备提供干净而稳定的电源；</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3.2×24 LCD蓝色背光显示功能设置操作界面使设备操作变得更加直观；</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4.每通道设立独立的硬件紧急关闭开关，可以通过开关紧急关闭某一路的电源输出；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5.可设置密码功能，更</w:t>
            </w:r>
            <w:bookmarkStart w:id="0" w:name="_GoBack"/>
            <w:r>
              <w:rPr>
                <w:rFonts w:hint="eastAsia" w:ascii="微软雅黑" w:hAnsi="微软雅黑" w:eastAsia="微软雅黑" w:cs="微软雅黑"/>
                <w:i w:val="0"/>
                <w:iCs w:val="0"/>
                <w:color w:val="000000"/>
                <w:kern w:val="0"/>
                <w:sz w:val="20"/>
                <w:szCs w:val="20"/>
                <w:u w:val="none"/>
                <w:lang w:val="en-US" w:eastAsia="zh-CN" w:bidi="ar"/>
              </w:rPr>
              <w:t>好的保护系统用电安全管理；</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6.软件编辑功能，可独立调整通道开机及关机的延时时间；</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7.设备内置定时开关机功能，最长可达12个月的定时时间设置；</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8.设备内置中控代码</w:t>
            </w:r>
            <w:bookmarkEnd w:id="0"/>
            <w:r>
              <w:rPr>
                <w:rFonts w:hint="eastAsia" w:ascii="微软雅黑" w:hAnsi="微软雅黑" w:eastAsia="微软雅黑" w:cs="微软雅黑"/>
                <w:i w:val="0"/>
                <w:iCs w:val="0"/>
                <w:color w:val="000000"/>
                <w:kern w:val="0"/>
                <w:sz w:val="20"/>
                <w:szCs w:val="20"/>
                <w:u w:val="none"/>
                <w:lang w:val="en-US" w:eastAsia="zh-CN" w:bidi="ar"/>
              </w:rPr>
              <w:t>生成器，方便第三方设备进行代码编辑；</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9.设备内置远程控制，让用户能随时随地的对设备进行开启关闭操作；</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10.能与同型号的电源时序器进行多台扩展及级联设置，而无需再购置其它控制器件；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11.设备受控控制方式多样，TCP/IP、WIFI、USB，RS485，RS232联机控制加上外部（远程）控制能控制复杂的电源系统。</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12.本设备可通过红外学习功能及IO控制功能对第三方设备进行控制。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13.采用新国家标准的10A和16A通用安全划盖插座，使得用电安全更加有保障。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机柜</w:t>
            </w:r>
          </w:p>
        </w:tc>
        <w:tc>
          <w:tcPr>
            <w:tcW w:w="6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24U，大会议室用，铁皮带玻璃门，可锁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连接线</w:t>
            </w:r>
          </w:p>
        </w:tc>
        <w:tc>
          <w:tcPr>
            <w:tcW w:w="6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电源线、网络线、音频线、接头，莲花，插头，转弯头等配件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安装调试费</w:t>
            </w:r>
          </w:p>
        </w:tc>
        <w:tc>
          <w:tcPr>
            <w:tcW w:w="6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r>
    </w:tbl>
    <w:p>
      <w:r>
        <w:rPr>
          <w:rFonts w:hint="eastAsia"/>
        </w:rPr>
        <w:t>2.要求：</w:t>
      </w:r>
    </w:p>
    <w:p>
      <w:r>
        <w:rPr>
          <w:rFonts w:hint="eastAsia"/>
        </w:rPr>
        <w:t>①保证金2000元，中标的供应商保证金留下，未中标的当场退还。</w:t>
      </w:r>
    </w:p>
    <w:p>
      <w:r>
        <w:rPr>
          <w:rFonts w:hint="eastAsia"/>
        </w:rPr>
        <w:t>②提供供应商营业执照、法人或委托书及委托人身份证复印件。</w:t>
      </w:r>
    </w:p>
    <w:p>
      <w:r>
        <w:rPr>
          <w:rFonts w:hint="eastAsia"/>
        </w:rPr>
        <w:t>③现场报价。</w:t>
      </w:r>
    </w:p>
    <w:p>
      <w:r>
        <w:rPr>
          <w:rFonts w:hint="eastAsia"/>
        </w:rPr>
        <w:t>④交货期限：</w:t>
      </w:r>
      <w:r>
        <w:rPr>
          <w:rFonts w:hint="eastAsia"/>
          <w:lang w:eastAsia="zh-CN"/>
        </w:rPr>
        <w:t>签订合同后</w:t>
      </w:r>
      <w:r>
        <w:rPr>
          <w:rFonts w:hint="eastAsia"/>
          <w:lang w:val="en-US" w:eastAsia="zh-CN"/>
        </w:rPr>
        <w:t>20</w:t>
      </w:r>
      <w:r>
        <w:rPr>
          <w:rFonts w:hint="eastAsia"/>
        </w:rPr>
        <w:t>个工作日交货并调试完成。</w:t>
      </w:r>
    </w:p>
    <w:p>
      <w:r>
        <w:rPr>
          <w:rFonts w:hint="eastAsia"/>
        </w:rPr>
        <w:t>四、拟邀请报价单位名单：</w:t>
      </w:r>
    </w:p>
    <w:p>
      <w:r>
        <w:rPr>
          <w:rFonts w:hint="eastAsia"/>
        </w:rPr>
        <w:t>1. 莆田</w:t>
      </w:r>
      <w:r>
        <w:rPr>
          <w:rFonts w:hint="eastAsia"/>
          <w:lang w:eastAsia="zh-CN"/>
        </w:rPr>
        <w:t>安信为科技</w:t>
      </w:r>
      <w:r>
        <w:rPr>
          <w:rFonts w:hint="eastAsia"/>
        </w:rPr>
        <w:t>有限公司</w:t>
      </w:r>
    </w:p>
    <w:p>
      <w:pPr>
        <w:rPr>
          <w:rFonts w:hint="eastAsia" w:eastAsiaTheme="minorEastAsia"/>
          <w:lang w:val="en-US" w:eastAsia="zh-CN"/>
        </w:rPr>
      </w:pPr>
      <w:r>
        <w:rPr>
          <w:rFonts w:hint="eastAsia"/>
        </w:rPr>
        <w:t xml:space="preserve">2. </w:t>
      </w:r>
      <w:r>
        <w:rPr>
          <w:rFonts w:hint="eastAsia"/>
          <w:lang w:eastAsia="zh-CN"/>
        </w:rPr>
        <w:t>莆田市动点贸易有限公司</w:t>
      </w:r>
    </w:p>
    <w:p>
      <w:r>
        <w:rPr>
          <w:rFonts w:hint="eastAsia"/>
        </w:rPr>
        <w:t>3.</w:t>
      </w:r>
      <w:r>
        <w:rPr>
          <w:rFonts w:hint="eastAsia"/>
          <w:lang w:val="en-US" w:eastAsia="zh-CN"/>
        </w:rPr>
        <w:t xml:space="preserve"> </w:t>
      </w:r>
      <w:r>
        <w:rPr>
          <w:rFonts w:hint="eastAsia"/>
        </w:rPr>
        <w:t>莆田市</w:t>
      </w:r>
      <w:r>
        <w:rPr>
          <w:rFonts w:hint="eastAsia"/>
          <w:lang w:eastAsia="zh-CN"/>
        </w:rPr>
        <w:t>莆院文化传媒</w:t>
      </w:r>
      <w:r>
        <w:rPr>
          <w:rFonts w:hint="eastAsia"/>
        </w:rPr>
        <w:t>有限公司</w:t>
      </w:r>
    </w:p>
    <w:p>
      <w:r>
        <w:rPr>
          <w:rFonts w:hint="eastAsia"/>
        </w:rPr>
        <w:t>五、现场综合询价报价时间和地点</w:t>
      </w:r>
    </w:p>
    <w:p>
      <w:r>
        <w:rPr>
          <w:rFonts w:hint="eastAsia"/>
        </w:rPr>
        <w:t>1.时间：202</w:t>
      </w:r>
      <w:r>
        <w:rPr>
          <w:rFonts w:hint="eastAsia"/>
          <w:lang w:val="en-US" w:eastAsia="zh-CN"/>
        </w:rPr>
        <w:t>2</w:t>
      </w:r>
      <w:r>
        <w:rPr>
          <w:rFonts w:hint="eastAsia"/>
        </w:rPr>
        <w:t>年</w:t>
      </w:r>
      <w:r>
        <w:rPr>
          <w:rFonts w:hint="eastAsia"/>
          <w:lang w:val="en-US" w:eastAsia="zh-CN"/>
        </w:rPr>
        <w:t xml:space="preserve">  12 </w:t>
      </w:r>
      <w:r>
        <w:rPr>
          <w:rFonts w:hint="eastAsia"/>
        </w:rPr>
        <w:t>月</w:t>
      </w:r>
      <w:r>
        <w:rPr>
          <w:rFonts w:hint="eastAsia"/>
          <w:lang w:val="en-US" w:eastAsia="zh-CN"/>
        </w:rPr>
        <w:t xml:space="preserve">  21 </w:t>
      </w:r>
      <w:r>
        <w:rPr>
          <w:rFonts w:hint="eastAsia"/>
        </w:rPr>
        <w:t>号上午09：00</w:t>
      </w:r>
    </w:p>
    <w:p>
      <w:r>
        <w:rPr>
          <w:rFonts w:hint="eastAsia"/>
        </w:rPr>
        <w:t>2.地点：莆田擢英中学</w:t>
      </w:r>
      <w:r>
        <w:rPr>
          <w:rFonts w:hint="eastAsia"/>
          <w:lang w:val="en-US" w:eastAsia="zh-CN"/>
        </w:rPr>
        <w:t>4</w:t>
      </w:r>
      <w:r>
        <w:rPr>
          <w:rFonts w:hint="eastAsia"/>
        </w:rPr>
        <w:t>号楼</w:t>
      </w:r>
      <w:r>
        <w:rPr>
          <w:rFonts w:hint="eastAsia"/>
          <w:lang w:val="en-US" w:eastAsia="zh-CN"/>
        </w:rPr>
        <w:t>三</w:t>
      </w:r>
      <w:r>
        <w:rPr>
          <w:rFonts w:hint="eastAsia"/>
        </w:rPr>
        <w:t>层行政会议室</w:t>
      </w:r>
    </w:p>
    <w:p>
      <w:r>
        <w:rPr>
          <w:rFonts w:hint="eastAsia"/>
        </w:rPr>
        <w:t>六、项目联系方式</w:t>
      </w:r>
    </w:p>
    <w:p>
      <w:r>
        <w:rPr>
          <w:rFonts w:hint="eastAsia"/>
        </w:rPr>
        <w:t>1.项目联系人：</w:t>
      </w:r>
      <w:r>
        <w:rPr>
          <w:rFonts w:hint="eastAsia"/>
          <w:lang w:eastAsia="zh-CN"/>
        </w:rPr>
        <w:t>吴老师</w:t>
      </w:r>
    </w:p>
    <w:p>
      <w:pPr>
        <w:rPr>
          <w:rFonts w:hint="default" w:eastAsiaTheme="minorEastAsia"/>
          <w:lang w:val="en-US" w:eastAsia="zh-CN"/>
        </w:rPr>
      </w:pPr>
      <w:r>
        <w:rPr>
          <w:rFonts w:hint="eastAsia"/>
        </w:rPr>
        <w:t>2.联系电话：</w:t>
      </w:r>
      <w:r>
        <w:rPr>
          <w:rFonts w:hint="eastAsia"/>
          <w:lang w:val="en-US" w:eastAsia="zh-CN"/>
        </w:rPr>
        <w:t>13959522011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iMjUzZjQ1ZWRmMmU4ZTE5MDE1NGMzNWJjOTU2OTAifQ=="/>
  </w:docVars>
  <w:rsids>
    <w:rsidRoot w:val="00F4605D"/>
    <w:rsid w:val="0054320C"/>
    <w:rsid w:val="005E402A"/>
    <w:rsid w:val="006B3228"/>
    <w:rsid w:val="00A62FE5"/>
    <w:rsid w:val="00D7097D"/>
    <w:rsid w:val="00DB3E40"/>
    <w:rsid w:val="00F4605D"/>
    <w:rsid w:val="00F913F4"/>
    <w:rsid w:val="00FD3017"/>
    <w:rsid w:val="03EC4383"/>
    <w:rsid w:val="0F2561F1"/>
    <w:rsid w:val="10C54419"/>
    <w:rsid w:val="12AB11CC"/>
    <w:rsid w:val="1E5C5510"/>
    <w:rsid w:val="1EF65E09"/>
    <w:rsid w:val="2EE630A3"/>
    <w:rsid w:val="33744CA2"/>
    <w:rsid w:val="3B97225D"/>
    <w:rsid w:val="537605CF"/>
    <w:rsid w:val="56872752"/>
    <w:rsid w:val="5B3D7DB3"/>
    <w:rsid w:val="5F3B16CA"/>
    <w:rsid w:val="679D4F0E"/>
    <w:rsid w:val="6E710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11"/>
    <w:basedOn w:val="5"/>
    <w:qFormat/>
    <w:uiPriority w:val="0"/>
    <w:rPr>
      <w:rFonts w:hint="eastAsia" w:ascii="宋体" w:hAnsi="宋体" w:eastAsia="宋体" w:cs="宋体"/>
      <w:color w:val="000000"/>
      <w:sz w:val="18"/>
      <w:szCs w:val="18"/>
      <w:u w:val="none"/>
    </w:rPr>
  </w:style>
  <w:style w:type="character" w:customStyle="1" w:styleId="9">
    <w:name w:val="font61"/>
    <w:basedOn w:val="5"/>
    <w:uiPriority w:val="0"/>
    <w:rPr>
      <w:rFonts w:hint="eastAsia" w:ascii="宋体" w:hAnsi="宋体" w:eastAsia="宋体" w:cs="宋体"/>
      <w:color w:val="000000"/>
      <w:sz w:val="20"/>
      <w:szCs w:val="20"/>
      <w:u w:val="none"/>
    </w:rPr>
  </w:style>
  <w:style w:type="character" w:customStyle="1" w:styleId="10">
    <w:name w:val="font01"/>
    <w:basedOn w:val="5"/>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3868</Words>
  <Characters>4682</Characters>
  <Lines>16</Lines>
  <Paragraphs>4</Paragraphs>
  <TotalTime>0</TotalTime>
  <ScaleCrop>false</ScaleCrop>
  <LinksUpToDate>false</LinksUpToDate>
  <CharactersWithSpaces>7081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2021-05-22T08:11:00Z</dcterms:created>
  <dc:creator>ASUS</dc:creator>
  <cp:lastModifiedBy>曾伟</cp:lastModifiedBy>
  <dcterms:modified xsi:type="dcterms:W3CDTF">2022-12-14T09:26:06Z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C3D58727D5BD4C0C86BA5D9E6FD51CD0</vt:lpwstr>
  </property>
</Properties>
</file>